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71" w:rsidRDefault="00791C71" w:rsidP="00791C71">
      <w:pPr>
        <w:rPr>
          <w:rFonts w:ascii="TimesNewRomanPS-ItalicMT" w:cs="TimesNewRomanPS-ItalicMT"/>
          <w:i/>
          <w:iCs/>
          <w:sz w:val="44"/>
          <w:szCs w:val="44"/>
          <w:lang w:bidi="he-IL"/>
        </w:rPr>
      </w:pPr>
      <w:bookmarkStart w:id="0" w:name="_GoBack"/>
      <w:r w:rsidRPr="00AC5982">
        <w:rPr>
          <w:rFonts w:ascii="ArialMT" w:cs="ArialMT"/>
          <w:noProof/>
          <w:color w:val="464760"/>
          <w:sz w:val="18"/>
          <w:szCs w:val="18"/>
        </w:rPr>
        <w:drawing>
          <wp:inline distT="0" distB="0" distL="0" distR="0" wp14:anchorId="49231ADC" wp14:editId="62CA35AC">
            <wp:extent cx="1086522" cy="1086522"/>
            <wp:effectExtent l="0" t="0" r="0" b="0"/>
            <wp:docPr id="1" name="Picture 1" descr="C:\Users\yzhao\Desktop\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zhao\Desktop\6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2247" cy="1182247"/>
                    </a:xfrm>
                    <a:prstGeom prst="rect">
                      <a:avLst/>
                    </a:prstGeom>
                    <a:noFill/>
                    <a:ln>
                      <a:noFill/>
                    </a:ln>
                  </pic:spPr>
                </pic:pic>
              </a:graphicData>
            </a:graphic>
          </wp:inline>
        </w:drawing>
      </w:r>
      <w:bookmarkEnd w:id="0"/>
      <w:r>
        <w:rPr>
          <w:rFonts w:ascii="TimesNewRomanPS-ItalicMT" w:cs="TimesNewRomanPS-ItalicMT"/>
          <w:i/>
          <w:iCs/>
          <w:sz w:val="44"/>
          <w:szCs w:val="44"/>
          <w:lang w:bidi="he-IL"/>
        </w:rPr>
        <w:t xml:space="preserve">ADOPTION AGREEMENT        </w:t>
      </w:r>
    </w:p>
    <w:p w:rsidR="00791C71" w:rsidRDefault="00791C71" w:rsidP="00791C71">
      <w:pPr>
        <w:rPr>
          <w:rFonts w:ascii="TimesNewRomanPS-ItalicMT" w:cs="TimesNewRomanPS-ItalicMT"/>
          <w:i/>
          <w:iCs/>
          <w:sz w:val="44"/>
          <w:szCs w:val="44"/>
          <w:lang w:bidi="he-IL"/>
        </w:rPr>
      </w:pPr>
      <w:r>
        <w:rPr>
          <w:rFonts w:ascii="TimesNewRomanPS-ItalicMT" w:cs="TimesNewRomanPS-ItalicMT"/>
          <w:i/>
          <w:iCs/>
          <w:sz w:val="16"/>
          <w:szCs w:val="16"/>
          <w:lang w:bidi="he-IL"/>
        </w:rPr>
        <w:t xml:space="preserve">Copy 1 of 2 </w:t>
      </w:r>
      <w:r w:rsidRPr="008013C7">
        <w:rPr>
          <w:rFonts w:ascii="TimesNewRomanPS-ItalicMT" w:cs="TimesNewRomanPS-ItalicMT"/>
          <w:i/>
          <w:iCs/>
          <w:sz w:val="16"/>
          <w:szCs w:val="16"/>
          <w:lang w:bidi="he-IL"/>
        </w:rPr>
        <w:t>-</w:t>
      </w:r>
      <w:r>
        <w:rPr>
          <w:rFonts w:ascii="TimesNewRomanPS-ItalicMT" w:cs="TimesNewRomanPS-ItalicMT"/>
          <w:i/>
          <w:iCs/>
          <w:sz w:val="18"/>
          <w:szCs w:val="18"/>
          <w:lang w:bidi="he-IL"/>
        </w:rPr>
        <w:t>New</w:t>
      </w:r>
      <w:r w:rsidRPr="008013C7">
        <w:rPr>
          <w:rFonts w:ascii="TimesNewRomanPS-ItalicMT" w:cs="TimesNewRomanPS-ItalicMT"/>
          <w:i/>
          <w:iCs/>
          <w:sz w:val="18"/>
          <w:szCs w:val="18"/>
          <w:lang w:bidi="he-IL"/>
        </w:rPr>
        <w:t xml:space="preserve"> Guardian</w:t>
      </w:r>
      <w:r w:rsidRPr="008013C7">
        <w:rPr>
          <w:rFonts w:ascii="TimesNewRomanPS-ItalicMT" w:cs="TimesNewRomanPS-ItalicMT"/>
          <w:i/>
          <w:iCs/>
          <w:sz w:val="18"/>
          <w:szCs w:val="18"/>
          <w:lang w:bidi="he-IL"/>
        </w:rPr>
        <w:t>’</w:t>
      </w:r>
      <w:r w:rsidRPr="008013C7">
        <w:rPr>
          <w:rFonts w:ascii="TimesNewRomanPS-ItalicMT" w:cs="TimesNewRomanPS-ItalicMT"/>
          <w:i/>
          <w:iCs/>
          <w:sz w:val="18"/>
          <w:szCs w:val="18"/>
          <w:lang w:bidi="he-IL"/>
        </w:rPr>
        <w:t>s Copy</w:t>
      </w:r>
    </w:p>
    <w:p w:rsidR="00791C71" w:rsidRPr="00F353DE" w:rsidRDefault="00791C71" w:rsidP="00791C71">
      <w:pPr>
        <w:autoSpaceDE w:val="0"/>
        <w:autoSpaceDN w:val="0"/>
        <w:adjustRightInd w:val="0"/>
        <w:spacing w:after="0" w:line="240" w:lineRule="auto"/>
        <w:rPr>
          <w:rFonts w:ascii="TimesNewRomanPS-ItalicMT" w:cs="TimesNewRomanPS-ItalicMT"/>
          <w:i/>
          <w:iCs/>
          <w:sz w:val="20"/>
          <w:szCs w:val="20"/>
          <w:lang w:bidi="he-IL"/>
        </w:rPr>
      </w:pPr>
      <w:r w:rsidRPr="00F353DE">
        <w:rPr>
          <w:rFonts w:ascii="TimesNewRomanPSMT" w:cs="TimesNewRomanPSMT"/>
          <w:sz w:val="20"/>
          <w:szCs w:val="20"/>
        </w:rPr>
        <w:t xml:space="preserve">This agreement is between </w:t>
      </w:r>
      <w:r w:rsidRPr="00F353DE">
        <w:rPr>
          <w:rFonts w:ascii="TimesNewRomanPS-ItalicMT" w:cs="TimesNewRomanPS-ItalicMT"/>
          <w:i/>
          <w:iCs/>
          <w:sz w:val="20"/>
          <w:szCs w:val="20"/>
          <w:lang w:bidi="he-IL"/>
        </w:rPr>
        <w:t xml:space="preserve">_____________________________ </w:t>
      </w:r>
      <w:r w:rsidRPr="00F353DE">
        <w:rPr>
          <w:rFonts w:ascii="TimesNewRomanPSMT" w:cs="TimesNewRomanPSMT"/>
          <w:sz w:val="20"/>
          <w:szCs w:val="20"/>
        </w:rPr>
        <w:t>(</w:t>
      </w:r>
      <w:r w:rsidRPr="00F353DE">
        <w:rPr>
          <w:rFonts w:ascii="TimesNewRomanPSMT" w:cs="TimesNewRomanPSMT" w:hint="cs"/>
          <w:sz w:val="20"/>
          <w:szCs w:val="20"/>
        </w:rPr>
        <w:t>“</w:t>
      </w:r>
      <w:r w:rsidRPr="00F353DE">
        <w:rPr>
          <w:rFonts w:ascii="TimesNewRomanPSMT" w:cs="TimesNewRomanPSMT"/>
          <w:sz w:val="20"/>
          <w:szCs w:val="20"/>
        </w:rPr>
        <w:t>the former guardian</w:t>
      </w:r>
      <w:r w:rsidRPr="00F353DE">
        <w:rPr>
          <w:rFonts w:ascii="TimesNewRomanPSMT" w:cs="TimesNewRomanPSMT" w:hint="cs"/>
          <w:sz w:val="20"/>
          <w:szCs w:val="20"/>
        </w:rPr>
        <w:t>”</w:t>
      </w:r>
      <w:r w:rsidRPr="00F353DE">
        <w:rPr>
          <w:rFonts w:ascii="TimesNewRomanPSMT" w:cs="TimesNewRomanPSMT"/>
          <w:sz w:val="20"/>
          <w:szCs w:val="20"/>
        </w:rPr>
        <w:t xml:space="preserve">) and </w:t>
      </w:r>
      <w:r w:rsidR="00F353DE">
        <w:rPr>
          <w:rFonts w:ascii="TimesNewRomanPS-ItalicMT" w:cs="TimesNewRomanPS-ItalicMT"/>
          <w:i/>
          <w:iCs/>
          <w:sz w:val="20"/>
          <w:szCs w:val="20"/>
          <w:lang w:bidi="he-IL"/>
        </w:rPr>
        <w:t>____________________</w:t>
      </w:r>
      <w:r w:rsidRPr="00F353DE">
        <w:rPr>
          <w:rFonts w:ascii="TimesNewRomanPS-ItalicMT" w:cs="TimesNewRomanPS-ItalicMT"/>
          <w:i/>
          <w:iCs/>
          <w:sz w:val="20"/>
          <w:szCs w:val="20"/>
          <w:lang w:bidi="he-IL"/>
        </w:rPr>
        <w:t xml:space="preserve">__________________________________, </w:t>
      </w:r>
      <w:r w:rsidRPr="00F353DE">
        <w:rPr>
          <w:rFonts w:ascii="TimesNewRomanPSMT" w:cs="TimesNewRomanPSMT"/>
          <w:sz w:val="20"/>
          <w:szCs w:val="20"/>
        </w:rPr>
        <w:t>the adoptive guardian of _______________________________ (</w:t>
      </w:r>
      <w:r w:rsidRPr="00F353DE">
        <w:rPr>
          <w:rFonts w:ascii="TimesNewRomanPSMT" w:cs="TimesNewRomanPSMT" w:hint="cs"/>
          <w:sz w:val="20"/>
          <w:szCs w:val="20"/>
        </w:rPr>
        <w:t>“</w:t>
      </w:r>
      <w:r w:rsidRPr="00F353DE">
        <w:rPr>
          <w:rFonts w:ascii="TimesNewRomanPSMT" w:cs="TimesNewRomanPSMT"/>
          <w:sz w:val="20"/>
          <w:szCs w:val="20"/>
        </w:rPr>
        <w:t>chinchilla</w:t>
      </w:r>
      <w:r w:rsidRPr="00F353DE">
        <w:rPr>
          <w:rFonts w:ascii="TimesNewRomanPSMT" w:cs="TimesNewRomanPSMT" w:hint="cs"/>
          <w:sz w:val="20"/>
          <w:szCs w:val="20"/>
        </w:rPr>
        <w:t>”</w:t>
      </w:r>
      <w:r w:rsidRPr="00F353DE">
        <w:rPr>
          <w:rFonts w:ascii="TimesNewRomanPSMT" w:cs="TimesNewRomanPSMT"/>
          <w:sz w:val="20"/>
          <w:szCs w:val="20"/>
        </w:rPr>
        <w:t>) entered into beginning __________________.</w:t>
      </w:r>
    </w:p>
    <w:p w:rsidR="00791C71" w:rsidRDefault="00791C71" w:rsidP="00791C71">
      <w:pPr>
        <w:pStyle w:val="ListParagraph"/>
        <w:autoSpaceDE w:val="0"/>
        <w:autoSpaceDN w:val="0"/>
        <w:adjustRightInd w:val="0"/>
        <w:spacing w:after="0" w:line="240" w:lineRule="auto"/>
        <w:rPr>
          <w:rFonts w:ascii="TimesNewRomanPSMT" w:cs="TimesNewRomanPSMT"/>
          <w:sz w:val="20"/>
          <w:szCs w:val="20"/>
        </w:rPr>
      </w:pPr>
    </w:p>
    <w:p w:rsidR="00791C71" w:rsidRPr="00F353DE" w:rsidRDefault="00791C71" w:rsidP="00791C71">
      <w:p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 xml:space="preserve">I have clearly understood (1 to 10), </w:t>
      </w: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Chinchilla can live 16-20 years.</w:t>
      </w:r>
    </w:p>
    <w:p w:rsidR="00791C71" w:rsidRPr="00F353DE" w:rsidRDefault="00791C71" w:rsidP="00791C71">
      <w:pPr>
        <w:pStyle w:val="ListParagraph"/>
        <w:autoSpaceDE w:val="0"/>
        <w:autoSpaceDN w:val="0"/>
        <w:adjustRightInd w:val="0"/>
        <w:spacing w:after="0" w:line="240" w:lineRule="auto"/>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Temperatures not exceeding 75 degrees in the summer and not dropping below 50 degrees in the winter. They may need to be kept warmer than the minimum in the winter if they are on wire bottom cages and expecting babies, and cooler in the summer if the humidity is high.</w:t>
      </w:r>
    </w:p>
    <w:p w:rsidR="00791C71" w:rsidRPr="00F353DE" w:rsidRDefault="00791C71" w:rsidP="00791C71">
      <w:pPr>
        <w:pStyle w:val="ListParagraph"/>
        <w:autoSpaceDE w:val="0"/>
        <w:autoSpaceDN w:val="0"/>
        <w:adjustRightInd w:val="0"/>
        <w:spacing w:after="0" w:line="240" w:lineRule="auto"/>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Since chinchillas are rodents, their teeth are continually growing. They need something to gnaw on to prevent their teeth from growing too long. A pine board, wooden toys, or a pumice stone should be kept in their cage for this purpose.</w:t>
      </w:r>
    </w:p>
    <w:p w:rsidR="00791C71" w:rsidRPr="00F353DE" w:rsidRDefault="00791C71" w:rsidP="00791C71">
      <w:pPr>
        <w:pStyle w:val="ListParagraph"/>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Chinchillas need fresh water daily. DO NOT USE distilled water on your animals. The nutrients which have been removed are important in maintaining a healthy animal.</w:t>
      </w:r>
    </w:p>
    <w:p w:rsidR="00791C71" w:rsidRPr="00F353DE" w:rsidRDefault="00791C71" w:rsidP="00791C71">
      <w:pPr>
        <w:pStyle w:val="ListParagraph"/>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Normally, the chinchilla is a very healthy, hearty animal. Under reasonable conditions they will thrive and reproduce. With a well-balanced diet, clean environment, and proper handling, there should be no need of additional shots or medications. Over- handling, too many extra goodies and too many changes in their routine can break down the animal</w:t>
      </w:r>
      <w:r w:rsidRPr="00F353DE">
        <w:rPr>
          <w:rFonts w:ascii="ArialMT" w:cs="ArialMT" w:hint="cs"/>
          <w:color w:val="464760"/>
          <w:sz w:val="20"/>
          <w:szCs w:val="20"/>
        </w:rPr>
        <w:t>’</w:t>
      </w:r>
      <w:r w:rsidRPr="00F353DE">
        <w:rPr>
          <w:rFonts w:ascii="ArialMT" w:cs="ArialMT"/>
          <w:color w:val="464760"/>
          <w:sz w:val="20"/>
          <w:szCs w:val="20"/>
        </w:rPr>
        <w:t>s health.</w:t>
      </w:r>
    </w:p>
    <w:p w:rsidR="00791C71" w:rsidRPr="00F353DE" w:rsidRDefault="00791C71" w:rsidP="00791C71">
      <w:pPr>
        <w:pStyle w:val="ListParagraph"/>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Dust baths may be offered anywhere from once or twice a week to once a day. No set time is required although if left in the cage, they may think it is a bathroom!</w:t>
      </w:r>
    </w:p>
    <w:p w:rsidR="00791C71" w:rsidRPr="00F353DE" w:rsidRDefault="00791C71" w:rsidP="00791C71">
      <w:pPr>
        <w:pStyle w:val="ListParagraph"/>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Most veterinarians are not familiar with chinchillas because of their rarity and the lack of information written about them. If you need them treated by a vet, have them treated with the same dosages as a guinea pig. This is their closest relative and they will respond best to this treatment.</w:t>
      </w:r>
    </w:p>
    <w:p w:rsidR="00791C71" w:rsidRPr="00F353DE" w:rsidRDefault="00791C71" w:rsidP="00791C71">
      <w:pPr>
        <w:pStyle w:val="ListParagraph"/>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I will never use, sell, give or transfer the cat for purposes of research/experimentation, fighting, for consumption or use in products. I understand that if a transfer of guardianship is necessary the former guardian must be notified.</w:t>
      </w:r>
    </w:p>
    <w:p w:rsidR="00791C71" w:rsidRPr="00F353DE" w:rsidRDefault="00791C71" w:rsidP="00791C71">
      <w:pPr>
        <w:pStyle w:val="ListParagraph"/>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I certify that I am 18 years or older and that I have the consent of the other members of my household to bring this/ these chinchilla(s) into my household and this chinchilla is in healthy condition.</w:t>
      </w:r>
    </w:p>
    <w:p w:rsidR="00791C71" w:rsidRPr="00F353DE" w:rsidRDefault="00791C71" w:rsidP="00791C71">
      <w:pPr>
        <w:pStyle w:val="ListParagraph"/>
        <w:rPr>
          <w:rFonts w:ascii="ArialMT" w:cs="ArialMT"/>
          <w:color w:val="464760"/>
          <w:sz w:val="20"/>
          <w:szCs w:val="20"/>
        </w:rPr>
      </w:pPr>
    </w:p>
    <w:p w:rsidR="00791C71" w:rsidRPr="00F353DE" w:rsidRDefault="00791C71" w:rsidP="00791C71">
      <w:pPr>
        <w:pStyle w:val="ListParagraph"/>
        <w:numPr>
          <w:ilvl w:val="0"/>
          <w:numId w:val="1"/>
        </w:numPr>
        <w:autoSpaceDE w:val="0"/>
        <w:autoSpaceDN w:val="0"/>
        <w:adjustRightInd w:val="0"/>
        <w:spacing w:after="0" w:line="240" w:lineRule="auto"/>
        <w:rPr>
          <w:rFonts w:ascii="ArialMT" w:cs="ArialMT"/>
          <w:color w:val="464760"/>
          <w:sz w:val="20"/>
          <w:szCs w:val="20"/>
        </w:rPr>
      </w:pPr>
      <w:r w:rsidRPr="00F353DE">
        <w:rPr>
          <w:rFonts w:ascii="ArialMT" w:cs="ArialMT"/>
          <w:color w:val="464760"/>
          <w:sz w:val="20"/>
          <w:szCs w:val="20"/>
        </w:rPr>
        <w:t>I am taking full fiscal and legal responsibility for the chinchilla(s) from this day forward.</w:t>
      </w:r>
      <w:r w:rsidRPr="00F353DE">
        <w:rPr>
          <w:rFonts w:ascii="ArialMT" w:cs="ArialMT"/>
          <w:noProof/>
          <w:color w:val="464760"/>
          <w:sz w:val="20"/>
          <w:szCs w:val="20"/>
        </w:rPr>
        <w:t xml:space="preserve"> </w:t>
      </w:r>
    </w:p>
    <w:p w:rsidR="00791C71" w:rsidRPr="00791C71" w:rsidRDefault="00791C71" w:rsidP="00791C71">
      <w:pPr>
        <w:autoSpaceDE w:val="0"/>
        <w:autoSpaceDN w:val="0"/>
        <w:adjustRightInd w:val="0"/>
        <w:spacing w:after="0" w:line="240" w:lineRule="auto"/>
        <w:rPr>
          <w:rFonts w:ascii="ArialMT" w:cs="ArialMT"/>
          <w:color w:val="464760"/>
          <w:sz w:val="18"/>
          <w:szCs w:val="18"/>
        </w:rPr>
      </w:pPr>
    </w:p>
    <w:p w:rsidR="00791C71" w:rsidRDefault="00791C71" w:rsidP="00791C71">
      <w:pPr>
        <w:pStyle w:val="ListParagraph"/>
        <w:autoSpaceDE w:val="0"/>
        <w:autoSpaceDN w:val="0"/>
        <w:adjustRightInd w:val="0"/>
        <w:spacing w:after="0" w:line="240" w:lineRule="auto"/>
        <w:rPr>
          <w:rFonts w:ascii="ArialMT" w:cs="ArialMT"/>
          <w:color w:val="464760"/>
          <w:sz w:val="18"/>
          <w:szCs w:val="18"/>
        </w:rPr>
      </w:pPr>
      <w:r>
        <w:rPr>
          <w:rFonts w:ascii="ArialMT" w:cs="ArialMT"/>
          <w:color w:val="464760"/>
          <w:sz w:val="18"/>
          <w:szCs w:val="18"/>
        </w:rPr>
        <w:t xml:space="preserve">                                                                                                   </w:t>
      </w:r>
    </w:p>
    <w:p w:rsidR="00791C71" w:rsidRPr="00AC5982" w:rsidRDefault="00791C71" w:rsidP="00791C71">
      <w:pPr>
        <w:pStyle w:val="ListParagraph"/>
        <w:autoSpaceDE w:val="0"/>
        <w:autoSpaceDN w:val="0"/>
        <w:adjustRightInd w:val="0"/>
        <w:spacing w:after="0" w:line="240" w:lineRule="auto"/>
        <w:rPr>
          <w:rFonts w:ascii="ArialMT" w:cs="ArialMT"/>
          <w:color w:val="464760"/>
          <w:sz w:val="18"/>
          <w:szCs w:val="18"/>
        </w:rPr>
      </w:pPr>
      <w:r>
        <w:rPr>
          <w:rFonts w:ascii="ArialMT" w:cs="ArialMT"/>
          <w:color w:val="464760"/>
          <w:sz w:val="18"/>
          <w:szCs w:val="18"/>
        </w:rPr>
        <w:t xml:space="preserve">                                                                                  </w:t>
      </w:r>
      <w:r w:rsidRPr="00AC5982">
        <w:rPr>
          <w:rFonts w:ascii="ArialMT" w:cs="ArialMT"/>
          <w:color w:val="464760"/>
          <w:sz w:val="18"/>
          <w:szCs w:val="18"/>
        </w:rPr>
        <w:t>Sworn, ________________________________________</w:t>
      </w:r>
    </w:p>
    <w:p w:rsidR="00791C71" w:rsidRPr="00AC5982" w:rsidRDefault="00791C71" w:rsidP="00791C71">
      <w:pPr>
        <w:pStyle w:val="ListParagraph"/>
        <w:autoSpaceDE w:val="0"/>
        <w:autoSpaceDN w:val="0"/>
        <w:adjustRightInd w:val="0"/>
        <w:spacing w:after="0" w:line="240" w:lineRule="auto"/>
        <w:rPr>
          <w:rFonts w:ascii="ArialMT" w:cs="ArialMT"/>
          <w:color w:val="464760"/>
          <w:sz w:val="18"/>
          <w:szCs w:val="18"/>
        </w:rPr>
      </w:pPr>
      <w:r>
        <w:rPr>
          <w:rFonts w:ascii="ArialMT" w:cs="ArialMT"/>
          <w:color w:val="464760"/>
          <w:sz w:val="18"/>
          <w:szCs w:val="18"/>
        </w:rPr>
        <w:t xml:space="preserve">                                                                                                                                     </w:t>
      </w:r>
      <w:r w:rsidRPr="00AC5982">
        <w:rPr>
          <w:rFonts w:ascii="ArialMT" w:cs="ArialMT"/>
          <w:color w:val="464760"/>
          <w:sz w:val="18"/>
          <w:szCs w:val="18"/>
        </w:rPr>
        <w:t>Signature</w:t>
      </w:r>
    </w:p>
    <w:p w:rsidR="00791C71" w:rsidRPr="00AC5982" w:rsidRDefault="00791C71" w:rsidP="00791C71">
      <w:pPr>
        <w:pStyle w:val="ListParagraph"/>
        <w:autoSpaceDE w:val="0"/>
        <w:autoSpaceDN w:val="0"/>
        <w:adjustRightInd w:val="0"/>
        <w:spacing w:after="0" w:line="240" w:lineRule="auto"/>
        <w:rPr>
          <w:rFonts w:ascii="ArialMT" w:cs="ArialMT"/>
          <w:color w:val="464760"/>
          <w:sz w:val="18"/>
          <w:szCs w:val="18"/>
        </w:rPr>
      </w:pPr>
    </w:p>
    <w:tbl>
      <w:tblPr>
        <w:tblStyle w:val="TableGrid"/>
        <w:tblW w:w="0" w:type="auto"/>
        <w:tblInd w:w="720" w:type="dxa"/>
        <w:tblLook w:val="04A0" w:firstRow="1" w:lastRow="0" w:firstColumn="1" w:lastColumn="0" w:noHBand="0" w:noVBand="1"/>
      </w:tblPr>
      <w:tblGrid>
        <w:gridCol w:w="2876"/>
        <w:gridCol w:w="2877"/>
        <w:gridCol w:w="2877"/>
      </w:tblGrid>
      <w:tr w:rsidR="00791C71" w:rsidTr="004558C5">
        <w:tc>
          <w:tcPr>
            <w:tcW w:w="3116" w:type="dxa"/>
          </w:tcPr>
          <w:p w:rsidR="00791C71" w:rsidRDefault="00791C71" w:rsidP="004558C5">
            <w:pPr>
              <w:pStyle w:val="ListParagraph"/>
              <w:autoSpaceDE w:val="0"/>
              <w:autoSpaceDN w:val="0"/>
              <w:adjustRightInd w:val="0"/>
              <w:ind w:left="0"/>
              <w:rPr>
                <w:rFonts w:ascii="ArialMT" w:cs="ArialMT"/>
                <w:color w:val="464760"/>
                <w:sz w:val="18"/>
                <w:szCs w:val="18"/>
              </w:rPr>
            </w:pPr>
          </w:p>
        </w:tc>
        <w:tc>
          <w:tcPr>
            <w:tcW w:w="3117" w:type="dxa"/>
          </w:tcPr>
          <w:p w:rsidR="00791C71" w:rsidRDefault="00791C71" w:rsidP="004558C5">
            <w:pPr>
              <w:pStyle w:val="ListParagraph"/>
              <w:autoSpaceDE w:val="0"/>
              <w:autoSpaceDN w:val="0"/>
              <w:adjustRightInd w:val="0"/>
              <w:ind w:left="0"/>
              <w:rPr>
                <w:rFonts w:ascii="ArialMT" w:cs="ArialMT"/>
                <w:color w:val="464760"/>
                <w:sz w:val="18"/>
                <w:szCs w:val="18"/>
              </w:rPr>
            </w:pPr>
          </w:p>
        </w:tc>
        <w:tc>
          <w:tcPr>
            <w:tcW w:w="3117" w:type="dxa"/>
          </w:tcPr>
          <w:p w:rsidR="00791C71" w:rsidRDefault="00791C71" w:rsidP="004558C5">
            <w:pPr>
              <w:pStyle w:val="ListParagraph"/>
              <w:autoSpaceDE w:val="0"/>
              <w:autoSpaceDN w:val="0"/>
              <w:adjustRightInd w:val="0"/>
              <w:ind w:left="0"/>
              <w:rPr>
                <w:rFonts w:ascii="ArialMT" w:cs="ArialMT"/>
                <w:color w:val="464760"/>
                <w:sz w:val="18"/>
                <w:szCs w:val="18"/>
              </w:rPr>
            </w:pPr>
          </w:p>
        </w:tc>
      </w:tr>
    </w:tbl>
    <w:p w:rsidR="00791C71" w:rsidRDefault="00791C71" w:rsidP="00791C71">
      <w:pPr>
        <w:pStyle w:val="ListParagraph"/>
        <w:autoSpaceDE w:val="0"/>
        <w:autoSpaceDN w:val="0"/>
        <w:adjustRightInd w:val="0"/>
        <w:spacing w:after="0" w:line="240" w:lineRule="auto"/>
        <w:rPr>
          <w:rFonts w:ascii="ArialMT" w:cs="ArialMT"/>
          <w:color w:val="464760"/>
          <w:sz w:val="18"/>
          <w:szCs w:val="18"/>
        </w:rPr>
      </w:pPr>
      <w:r>
        <w:rPr>
          <w:rFonts w:ascii="ArialMT" w:cs="ArialMT"/>
          <w:color w:val="464760"/>
          <w:sz w:val="18"/>
          <w:szCs w:val="18"/>
        </w:rPr>
        <w:t>Chinchilla Name/#                                   Color                                                        Re-home Fee (Non-Refund)</w:t>
      </w:r>
    </w:p>
    <w:p w:rsidR="009665D1" w:rsidRDefault="009665D1"/>
    <w:sectPr w:rsidR="0096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NewRomanPS-ItalicMT">
    <w:altName w:val="Times New Roman"/>
    <w:panose1 w:val="00000000000000000000"/>
    <w:charset w:val="B1"/>
    <w:family w:val="auto"/>
    <w:notTrueType/>
    <w:pitch w:val="default"/>
    <w:sig w:usb0="00000801" w:usb1="00000000" w:usb2="00000000" w:usb3="00000000" w:csb0="00000020" w:csb1="00000000"/>
  </w:font>
  <w:font w:name="Arial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7340C"/>
    <w:multiLevelType w:val="hybridMultilevel"/>
    <w:tmpl w:val="C70C8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1"/>
    <w:rsid w:val="001337D9"/>
    <w:rsid w:val="004C65F2"/>
    <w:rsid w:val="00791C71"/>
    <w:rsid w:val="009665D1"/>
    <w:rsid w:val="00F3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4C5C0-E369-4EB0-87F8-4FCED57A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71"/>
    <w:pPr>
      <w:ind w:left="720"/>
      <w:contextualSpacing/>
    </w:pPr>
  </w:style>
  <w:style w:type="table" w:styleId="TableGrid">
    <w:name w:val="Table Grid"/>
    <w:basedOn w:val="TableNormal"/>
    <w:uiPriority w:val="39"/>
    <w:rsid w:val="0079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2497</Characters>
  <Application>Microsoft Office Word</Application>
  <DocSecurity>0</DocSecurity>
  <Lines>20</Lines>
  <Paragraphs>5</Paragraphs>
  <ScaleCrop>false</ScaleCrop>
  <Company>ROYAL BUSINESS BANK</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(Ye) Zhao</dc:creator>
  <cp:keywords/>
  <dc:description/>
  <cp:lastModifiedBy>Yvonne (Ye) Zhao</cp:lastModifiedBy>
  <cp:revision>4</cp:revision>
  <cp:lastPrinted>2019-11-02T01:03:00Z</cp:lastPrinted>
  <dcterms:created xsi:type="dcterms:W3CDTF">2019-11-02T00:46:00Z</dcterms:created>
  <dcterms:modified xsi:type="dcterms:W3CDTF">2019-11-02T01:03:00Z</dcterms:modified>
</cp:coreProperties>
</file>